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Soles4Souls, il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Charity Program di Expo Riva Schuh &amp; Gardabags 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Trasformare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campionari e calzature in esubero in opportunità concrete: Riva del Garda Fierecongressi ha avviato una collaborazione significativa con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Soles4Souls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l’organizzazione no-profit impegnata nell'assistenza ai più bisognosi. Nell’ambito del Charity Program di Expo Riva Schuh &amp; Gardabags, la Società rivana sta attivamente lavorando per mettere in contatto ogni espositore della fiera con Soles4Souls: l'obiettivo è garantire che i campionari e le scarpe esposte durante l'evento (e non solo) non finiscano in discarica, ma siano invece donati a coloro che ne hanno necessità. 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Soles4Souls trasforma scarpe e indumenti inutilizzati in opportunità, evitando che vadano sprecati e facendone un buon uso, fornendo assistenza, creando posti di lavoro e consentendo alle persone di uscire da una situazione di povertà. Dal 2006 ad oggi i sostenitori e i partner di Soles4Souls hanno contribuito in modo significativo a evitare che oltre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81 milioni di chilogrammi di prodotti tessili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tra cui più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53 milioni di paia di scarpe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venissero destinati alle discariche. Prodotti che sono stati invece distribuiti in ben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137 Paesi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 rappresentare un impegno concreto e positivo verso la riduzione degli sprechi e il supporto alle comunità in difficoltà. L’organizzazione raccoglie anche scarpe già utilizzate, che vengono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inviate a centri speciali e sistemate con cura, per poi entrare in un ciclo che gli dona una nuova vita.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12 gennaio 2024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B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21922" cy="7406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8385" l="0" r="0" t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