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Expo Riva Schuh &amp; Gardabags dà il via alla sua 100esima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Expo Riva Schuh &amp; Gardabags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la più importante fiera internazionale dedicata alla calzatura di volume, alla pelletteria e all’accessorio, si avvia a inaugurare la sua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100esima edizione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in programma 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Quartiere Fieristico di Riva del Garda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13 al 16 gennaio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Un evento capace di richiamare persone da ogni parte del mondo, di generare un giro d’affari di dimensioni ragguardevoli e di divenire punto di riferimento per il commercio internazionale del mondo delle calzature e, oggi, anche degli accessori.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“In 100 edizioni Expo Riva Schuh &amp; Gardabags si è dimostrata essenziale per mantenere competitivi i canali distributivi italiani ed europei - dichiara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Presidente di Riva del Garda Fierecongressi, Roberto Pellegrini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venuta meno la centralità dell'Italia nelle produzioni di volume, abbiamo l'opportunità di essere e rimanere l’hub leader della distribuzione mondiale”.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 evento testimone di mezzo secolo di innovazione nel settore dell’industria calzaturiera, e non solo, che nei suoi primi 50 anni ha saputo leggere e assecondare i cambiamenti, attraverso la valorizzazione del territorio, l’incontro proficuo di pubblico e privato, l’apertura ai mercati e alle produzioni internazionali, il ripensamento della struttura manageriale e le importanti relazioni strette con le filiere produttive e la distribuzione.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Nata con 12 espositori, la manifestazione oggi conta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più di 1300 marchi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del settore, da oltre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40 Paesi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una reale lista d’attesa, nonostante la pandemia abbia messo a dura prova ogni appuntamento internazionale. Un punto di riferimento capace di stimolare il mercato, che per 8 giorni l’anno diviene centro degli scambi della calzatura e dell’accessorio di volume, e negli anni recenti anche di prodotti a più alto valore.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Nelle sue prime 100 edizioni la fiera ha ospitato circa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70.000 collezioni di calzature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(un calcolo in difetto, perché si è immaginato che a ogni edizione un espositore abbia mostrato una sola collezione) e accolto circa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500 mila presenze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; negli ultimi 10 anni, ha convinto gli operatori di settore a raggiungere Riva del Garda da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almeno 100 nazioni per ogni edizione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Oggi circa l’80% dei visitatori proviene dal continente europeo e un 20% del totale dei visitatori dall’extra-Europa, un numero molto alto, se paragonato ad altri eventi. Generando un’importante ricaduta anche sul territorio dell’Alto Garda, per un valore economico complessivo di circa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29 milioni di euro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(fonte: Ribes - Researches and Instruments on Business Ethics and Social and Environmental Accounting, Università degli Studi di Trento, Dipartimento di Economia e Management).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Expo Riva Schuh &amp; Gardabags verrà festeggiata durante le due edizioni del 2024 con iniziative che coinvolgeranno l’intera comunità che ruota attorno alla fiera, quali la presentazione di un cortometraggio e di una mostra fotografica in cui verranno ripercorse le cinque decadi di storia della manifestazione e la realizzazione di una monografia con testimonianze, protagonisti ed esperienze.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12 gennaio 2024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